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B5D" w:rsidRDefault="00533913" w:rsidP="00533913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 wp14:anchorId="3DA929BA" wp14:editId="1DB28B9B">
            <wp:extent cx="2624328" cy="850392"/>
            <wp:effectExtent l="0" t="0" r="508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0dpi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328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166" w:rsidRDefault="00EC0166" w:rsidP="00A30DC1">
      <w:pPr>
        <w:spacing w:after="0" w:line="240" w:lineRule="auto"/>
        <w:jc w:val="center"/>
        <w:rPr>
          <w:b/>
          <w:sz w:val="28"/>
          <w:szCs w:val="28"/>
        </w:rPr>
      </w:pPr>
    </w:p>
    <w:p w:rsidR="00783F28" w:rsidRDefault="00783F28" w:rsidP="00A30DC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Performance</w:t>
      </w:r>
      <w:r w:rsidR="00533913">
        <w:rPr>
          <w:b/>
          <w:sz w:val="28"/>
          <w:szCs w:val="28"/>
        </w:rPr>
        <w:t xml:space="preserve"> Gap</w:t>
      </w:r>
      <w:r w:rsidR="00533913" w:rsidRPr="00F9521F">
        <w:rPr>
          <w:b/>
          <w:sz w:val="28"/>
          <w:szCs w:val="28"/>
        </w:rPr>
        <w:t xml:space="preserve"> Analysis</w:t>
      </w:r>
    </w:p>
    <w:p w:rsidR="00A30DC1" w:rsidRDefault="00C200DD" w:rsidP="00A30DC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Assessing School Services:  Best Practices for Making Service</w:t>
      </w:r>
      <w:r w:rsidR="0008718B">
        <w:rPr>
          <w:b/>
          <w:sz w:val="28"/>
          <w:szCs w:val="28"/>
        </w:rPr>
        <w:t>s</w:t>
      </w:r>
      <w:bookmarkStart w:id="0" w:name="_GoBack"/>
      <w:bookmarkEnd w:id="0"/>
      <w:r>
        <w:rPr>
          <w:b/>
          <w:sz w:val="28"/>
          <w:szCs w:val="28"/>
        </w:rPr>
        <w:t xml:space="preserve"> Transitions</w:t>
      </w:r>
    </w:p>
    <w:p w:rsidR="00C200DD" w:rsidRDefault="00C200DD" w:rsidP="00A30DC1">
      <w:pPr>
        <w:spacing w:after="0" w:line="240" w:lineRule="auto"/>
        <w:jc w:val="center"/>
        <w:rPr>
          <w:b/>
          <w:sz w:val="28"/>
          <w:szCs w:val="28"/>
        </w:rPr>
      </w:pPr>
    </w:p>
    <w:p w:rsidR="00533913" w:rsidRDefault="00EC0166" w:rsidP="0019422B">
      <w:pPr>
        <w:spacing w:after="0" w:line="240" w:lineRule="auto"/>
        <w:jc w:val="both"/>
      </w:pPr>
      <w:r>
        <w:t>T</w:t>
      </w:r>
      <w:r w:rsidR="00533913">
        <w:t xml:space="preserve">he </w:t>
      </w:r>
      <w:r>
        <w:t>(</w:t>
      </w:r>
      <w:r w:rsidR="00F144FB">
        <w:t>NAME OF SCHOOL</w:t>
      </w:r>
      <w:r>
        <w:t>) b</w:t>
      </w:r>
      <w:r w:rsidR="00533913">
        <w:t xml:space="preserve">oard is desirous of effectuating a </w:t>
      </w:r>
      <w:r w:rsidR="00A30DC1">
        <w:t xml:space="preserve">services </w:t>
      </w:r>
      <w:r w:rsidR="00533913">
        <w:t xml:space="preserve">transition, effective </w:t>
      </w:r>
      <w:r>
        <w:t>(DA</w:t>
      </w:r>
      <w:r w:rsidR="00A30DC1">
        <w:t>TE)</w:t>
      </w:r>
      <w:r w:rsidR="00533913">
        <w:t xml:space="preserve">.  The </w:t>
      </w:r>
      <w:r w:rsidR="00F144FB">
        <w:t xml:space="preserve">Academy Board </w:t>
      </w:r>
      <w:r>
        <w:t xml:space="preserve">has addressed all </w:t>
      </w:r>
      <w:r w:rsidR="00533913">
        <w:t xml:space="preserve">events and activities that must occur to ensure </w:t>
      </w:r>
      <w:r w:rsidR="00A30DC1">
        <w:t>new service</w:t>
      </w:r>
      <w:r w:rsidR="00533913">
        <w:t xml:space="preserve"> readiness within the desired time</w:t>
      </w:r>
      <w:r w:rsidR="00475568">
        <w:t xml:space="preserve"> </w:t>
      </w:r>
      <w:r w:rsidR="00533913">
        <w:t>frame.  This analysis</w:t>
      </w:r>
      <w:r>
        <w:t xml:space="preserve"> </w:t>
      </w:r>
      <w:r w:rsidR="00533913">
        <w:t>addresses</w:t>
      </w:r>
      <w:r w:rsidR="00E65ABC">
        <w:t xml:space="preserve"> both the </w:t>
      </w:r>
      <w:r w:rsidR="00C02277">
        <w:t xml:space="preserve">potential performance and operational gaps and options for filling </w:t>
      </w:r>
      <w:r>
        <w:t>the gaps</w:t>
      </w:r>
      <w:r w:rsidR="00E65ABC">
        <w:t xml:space="preserve"> in services that existing vendor has left void and/or gaps if vendor chooses to exit the school prior to the desired and articulated termination date.  This analysis will help inform the RFP process </w:t>
      </w:r>
      <w:r w:rsidR="00F144FB">
        <w:t>within the prescribed time frame</w:t>
      </w:r>
      <w:r w:rsidR="00E65ABC">
        <w:t xml:space="preserve">.  </w:t>
      </w:r>
    </w:p>
    <w:p w:rsidR="00783F28" w:rsidRDefault="00783F28" w:rsidP="00783F28">
      <w:pPr>
        <w:spacing w:after="0" w:line="240" w:lineRule="auto"/>
        <w:ind w:left="720"/>
      </w:pPr>
    </w:p>
    <w:p w:rsidR="00533913" w:rsidRDefault="00533913" w:rsidP="0019422B">
      <w:pPr>
        <w:spacing w:after="0" w:line="240" w:lineRule="auto"/>
        <w:jc w:val="both"/>
      </w:pPr>
      <w:r>
        <w:t xml:space="preserve">Currently, </w:t>
      </w:r>
      <w:r w:rsidR="00A30DC1">
        <w:t xml:space="preserve">vendor provides the following services: </w:t>
      </w:r>
    </w:p>
    <w:p w:rsidR="00783F28" w:rsidRDefault="00783F28" w:rsidP="00783F28">
      <w:pPr>
        <w:spacing w:after="0" w:line="240" w:lineRule="auto"/>
        <w:ind w:left="720"/>
        <w:jc w:val="both"/>
      </w:pPr>
    </w:p>
    <w:p w:rsidR="00533913" w:rsidRDefault="00A30DC1" w:rsidP="00783F28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Service a</w:t>
      </w:r>
    </w:p>
    <w:p w:rsidR="00A30DC1" w:rsidRDefault="00A30DC1" w:rsidP="00783F28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Service b</w:t>
      </w:r>
    </w:p>
    <w:p w:rsidR="00A30DC1" w:rsidRDefault="00A30DC1" w:rsidP="00783F28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Service c</w:t>
      </w:r>
    </w:p>
    <w:p w:rsidR="00A30DC1" w:rsidRDefault="00A30DC1" w:rsidP="00783F28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Service d</w:t>
      </w:r>
    </w:p>
    <w:p w:rsidR="00783F28" w:rsidRDefault="00783F28" w:rsidP="00783F28">
      <w:pPr>
        <w:pStyle w:val="ListParagraph"/>
        <w:spacing w:after="0" w:line="240" w:lineRule="auto"/>
        <w:ind w:left="1440"/>
        <w:jc w:val="both"/>
      </w:pPr>
    </w:p>
    <w:p w:rsidR="00533913" w:rsidRDefault="002A4B98" w:rsidP="0019422B">
      <w:pPr>
        <w:spacing w:after="0" w:line="240" w:lineRule="auto"/>
        <w:jc w:val="both"/>
      </w:pPr>
      <w:r>
        <w:t xml:space="preserve">Additionally, </w:t>
      </w:r>
      <w:r w:rsidR="00A30DC1">
        <w:t>vendor</w:t>
      </w:r>
      <w:r>
        <w:t xml:space="preserve">, in conjunction with the </w:t>
      </w:r>
      <w:r w:rsidR="00A30DC1">
        <w:t>board</w:t>
      </w:r>
      <w:r>
        <w:t xml:space="preserve">, oversees the operations </w:t>
      </w:r>
      <w:r w:rsidR="00A30DC1">
        <w:t>of (services-specific statement performed, in conjunction with board)</w:t>
      </w:r>
      <w:r w:rsidR="00733840">
        <w:t>, which</w:t>
      </w:r>
      <w:r w:rsidR="00533913">
        <w:t xml:space="preserve"> include </w:t>
      </w:r>
      <w:r w:rsidR="00A30DC1">
        <w:t>the following:</w:t>
      </w:r>
    </w:p>
    <w:p w:rsidR="00783F28" w:rsidRDefault="00783F28" w:rsidP="00783F28">
      <w:pPr>
        <w:spacing w:after="0" w:line="240" w:lineRule="auto"/>
        <w:ind w:left="720"/>
        <w:jc w:val="both"/>
      </w:pPr>
    </w:p>
    <w:p w:rsidR="00533913" w:rsidRDefault="00533913" w:rsidP="00783F28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Maintenance and operation of the school facilities, including custodial services</w:t>
      </w:r>
    </w:p>
    <w:p w:rsidR="00533913" w:rsidRDefault="00533913" w:rsidP="00783F28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Food services</w:t>
      </w:r>
    </w:p>
    <w:p w:rsidR="00533913" w:rsidRDefault="00533913" w:rsidP="00783F28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Transportation services</w:t>
      </w:r>
    </w:p>
    <w:p w:rsidR="00533913" w:rsidRDefault="00533913" w:rsidP="00783F28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Compliance reporting</w:t>
      </w:r>
    </w:p>
    <w:p w:rsidR="00533913" w:rsidRDefault="00533913" w:rsidP="00783F28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Budget/finance preparations and reporting</w:t>
      </w:r>
    </w:p>
    <w:p w:rsidR="00783F28" w:rsidRDefault="00783F28" w:rsidP="00783F28">
      <w:pPr>
        <w:pStyle w:val="ListParagraph"/>
        <w:spacing w:after="0" w:line="240" w:lineRule="auto"/>
        <w:ind w:left="1440"/>
        <w:jc w:val="both"/>
      </w:pPr>
    </w:p>
    <w:p w:rsidR="00533913" w:rsidRDefault="00F144FB" w:rsidP="0019422B">
      <w:pPr>
        <w:spacing w:after="0" w:line="240" w:lineRule="auto"/>
        <w:jc w:val="both"/>
      </w:pPr>
      <w:r>
        <w:t xml:space="preserve">In considering the above, the Academy Board, </w:t>
      </w:r>
      <w:r w:rsidR="007863A3">
        <w:t xml:space="preserve">has developed the table below that clearly articulates existing vendor services, identified gaps (as discussed between Academy Board and vendor) and requirements of new vendor.  </w:t>
      </w:r>
      <w:r>
        <w:t xml:space="preserve"> </w:t>
      </w:r>
    </w:p>
    <w:p w:rsidR="00783F28" w:rsidRDefault="00783F28" w:rsidP="00783F28">
      <w:pPr>
        <w:spacing w:after="0" w:line="240" w:lineRule="auto"/>
        <w:ind w:left="720"/>
      </w:pPr>
    </w:p>
    <w:p w:rsidR="007863A3" w:rsidRDefault="007863A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2880"/>
        <w:gridCol w:w="3150"/>
      </w:tblGrid>
      <w:tr w:rsidR="007863A3" w:rsidTr="007863A3">
        <w:tc>
          <w:tcPr>
            <w:tcW w:w="3145" w:type="dxa"/>
            <w:shd w:val="clear" w:color="auto" w:fill="BFBFBF" w:themeFill="background1" w:themeFillShade="BF"/>
          </w:tcPr>
          <w:p w:rsidR="007863A3" w:rsidRPr="007863A3" w:rsidRDefault="007863A3" w:rsidP="007863A3">
            <w:pPr>
              <w:jc w:val="center"/>
              <w:rPr>
                <w:b/>
              </w:rPr>
            </w:pPr>
            <w:r w:rsidRPr="007863A3">
              <w:rPr>
                <w:b/>
              </w:rPr>
              <w:lastRenderedPageBreak/>
              <w:t>Service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7863A3" w:rsidRPr="007863A3" w:rsidRDefault="007863A3" w:rsidP="007863A3">
            <w:pPr>
              <w:jc w:val="center"/>
              <w:rPr>
                <w:b/>
              </w:rPr>
            </w:pPr>
            <w:r w:rsidRPr="007863A3">
              <w:rPr>
                <w:b/>
              </w:rPr>
              <w:t>Identified Gaps</w:t>
            </w:r>
          </w:p>
        </w:tc>
        <w:tc>
          <w:tcPr>
            <w:tcW w:w="3150" w:type="dxa"/>
            <w:shd w:val="clear" w:color="auto" w:fill="BFBFBF" w:themeFill="background1" w:themeFillShade="BF"/>
          </w:tcPr>
          <w:p w:rsidR="007863A3" w:rsidRPr="007863A3" w:rsidRDefault="007863A3" w:rsidP="007863A3">
            <w:pPr>
              <w:jc w:val="center"/>
              <w:rPr>
                <w:b/>
              </w:rPr>
            </w:pPr>
            <w:r>
              <w:rPr>
                <w:b/>
              </w:rPr>
              <w:t xml:space="preserve">(New) </w:t>
            </w:r>
            <w:r w:rsidRPr="007863A3">
              <w:rPr>
                <w:b/>
              </w:rPr>
              <w:t>Requirements</w:t>
            </w:r>
          </w:p>
        </w:tc>
      </w:tr>
      <w:tr w:rsidR="007863A3" w:rsidTr="007863A3">
        <w:tc>
          <w:tcPr>
            <w:tcW w:w="3145" w:type="dxa"/>
          </w:tcPr>
          <w:p w:rsidR="007863A3" w:rsidRDefault="007863A3" w:rsidP="007863A3"/>
        </w:tc>
        <w:tc>
          <w:tcPr>
            <w:tcW w:w="2880" w:type="dxa"/>
          </w:tcPr>
          <w:p w:rsidR="007863A3" w:rsidRDefault="007863A3" w:rsidP="007863A3"/>
        </w:tc>
        <w:tc>
          <w:tcPr>
            <w:tcW w:w="3150" w:type="dxa"/>
          </w:tcPr>
          <w:p w:rsidR="007863A3" w:rsidRDefault="007863A3" w:rsidP="007863A3"/>
        </w:tc>
      </w:tr>
      <w:tr w:rsidR="007863A3" w:rsidTr="007863A3">
        <w:tc>
          <w:tcPr>
            <w:tcW w:w="3145" w:type="dxa"/>
          </w:tcPr>
          <w:p w:rsidR="007863A3" w:rsidRDefault="007863A3" w:rsidP="007863A3"/>
        </w:tc>
        <w:tc>
          <w:tcPr>
            <w:tcW w:w="2880" w:type="dxa"/>
          </w:tcPr>
          <w:p w:rsidR="007863A3" w:rsidRDefault="007863A3" w:rsidP="007863A3"/>
        </w:tc>
        <w:tc>
          <w:tcPr>
            <w:tcW w:w="3150" w:type="dxa"/>
          </w:tcPr>
          <w:p w:rsidR="007863A3" w:rsidRDefault="007863A3" w:rsidP="007863A3"/>
        </w:tc>
      </w:tr>
      <w:tr w:rsidR="007863A3" w:rsidTr="007863A3">
        <w:tc>
          <w:tcPr>
            <w:tcW w:w="3145" w:type="dxa"/>
          </w:tcPr>
          <w:p w:rsidR="007863A3" w:rsidRDefault="007863A3" w:rsidP="007863A3"/>
        </w:tc>
        <w:tc>
          <w:tcPr>
            <w:tcW w:w="2880" w:type="dxa"/>
          </w:tcPr>
          <w:p w:rsidR="007863A3" w:rsidRDefault="007863A3" w:rsidP="007863A3"/>
        </w:tc>
        <w:tc>
          <w:tcPr>
            <w:tcW w:w="3150" w:type="dxa"/>
          </w:tcPr>
          <w:p w:rsidR="007863A3" w:rsidRDefault="007863A3" w:rsidP="007863A3"/>
        </w:tc>
      </w:tr>
      <w:tr w:rsidR="007863A3" w:rsidTr="007863A3">
        <w:tc>
          <w:tcPr>
            <w:tcW w:w="3145" w:type="dxa"/>
          </w:tcPr>
          <w:p w:rsidR="007863A3" w:rsidRDefault="007863A3" w:rsidP="007863A3"/>
        </w:tc>
        <w:tc>
          <w:tcPr>
            <w:tcW w:w="2880" w:type="dxa"/>
          </w:tcPr>
          <w:p w:rsidR="007863A3" w:rsidRDefault="007863A3" w:rsidP="007863A3"/>
        </w:tc>
        <w:tc>
          <w:tcPr>
            <w:tcW w:w="3150" w:type="dxa"/>
          </w:tcPr>
          <w:p w:rsidR="007863A3" w:rsidRDefault="007863A3" w:rsidP="007863A3"/>
        </w:tc>
      </w:tr>
      <w:tr w:rsidR="007863A3" w:rsidTr="007863A3">
        <w:tc>
          <w:tcPr>
            <w:tcW w:w="3145" w:type="dxa"/>
          </w:tcPr>
          <w:p w:rsidR="007863A3" w:rsidRDefault="007863A3" w:rsidP="007863A3"/>
        </w:tc>
        <w:tc>
          <w:tcPr>
            <w:tcW w:w="2880" w:type="dxa"/>
          </w:tcPr>
          <w:p w:rsidR="007863A3" w:rsidRDefault="007863A3" w:rsidP="007863A3"/>
        </w:tc>
        <w:tc>
          <w:tcPr>
            <w:tcW w:w="3150" w:type="dxa"/>
          </w:tcPr>
          <w:p w:rsidR="007863A3" w:rsidRDefault="007863A3" w:rsidP="007863A3"/>
        </w:tc>
      </w:tr>
      <w:tr w:rsidR="007863A3" w:rsidTr="007863A3">
        <w:tc>
          <w:tcPr>
            <w:tcW w:w="3145" w:type="dxa"/>
          </w:tcPr>
          <w:p w:rsidR="007863A3" w:rsidRDefault="007863A3" w:rsidP="007863A3"/>
        </w:tc>
        <w:tc>
          <w:tcPr>
            <w:tcW w:w="2880" w:type="dxa"/>
          </w:tcPr>
          <w:p w:rsidR="007863A3" w:rsidRDefault="007863A3" w:rsidP="007863A3"/>
        </w:tc>
        <w:tc>
          <w:tcPr>
            <w:tcW w:w="3150" w:type="dxa"/>
          </w:tcPr>
          <w:p w:rsidR="007863A3" w:rsidRDefault="007863A3" w:rsidP="007863A3"/>
        </w:tc>
      </w:tr>
      <w:tr w:rsidR="007863A3" w:rsidTr="007863A3">
        <w:tc>
          <w:tcPr>
            <w:tcW w:w="3145" w:type="dxa"/>
          </w:tcPr>
          <w:p w:rsidR="007863A3" w:rsidRDefault="007863A3" w:rsidP="007863A3"/>
        </w:tc>
        <w:tc>
          <w:tcPr>
            <w:tcW w:w="2880" w:type="dxa"/>
          </w:tcPr>
          <w:p w:rsidR="007863A3" w:rsidRDefault="007863A3" w:rsidP="007863A3"/>
        </w:tc>
        <w:tc>
          <w:tcPr>
            <w:tcW w:w="3150" w:type="dxa"/>
          </w:tcPr>
          <w:p w:rsidR="007863A3" w:rsidRDefault="007863A3" w:rsidP="007863A3"/>
        </w:tc>
      </w:tr>
      <w:tr w:rsidR="007863A3" w:rsidTr="007863A3">
        <w:tc>
          <w:tcPr>
            <w:tcW w:w="3145" w:type="dxa"/>
          </w:tcPr>
          <w:p w:rsidR="007863A3" w:rsidRDefault="007863A3" w:rsidP="007863A3"/>
        </w:tc>
        <w:tc>
          <w:tcPr>
            <w:tcW w:w="2880" w:type="dxa"/>
          </w:tcPr>
          <w:p w:rsidR="007863A3" w:rsidRDefault="007863A3" w:rsidP="007863A3"/>
        </w:tc>
        <w:tc>
          <w:tcPr>
            <w:tcW w:w="3150" w:type="dxa"/>
          </w:tcPr>
          <w:p w:rsidR="007863A3" w:rsidRDefault="007863A3" w:rsidP="007863A3"/>
        </w:tc>
      </w:tr>
    </w:tbl>
    <w:p w:rsidR="00783F28" w:rsidRDefault="00783F28" w:rsidP="007863A3">
      <w:pPr>
        <w:spacing w:after="0" w:line="240" w:lineRule="auto"/>
      </w:pPr>
    </w:p>
    <w:p w:rsidR="00533913" w:rsidRPr="00334D54" w:rsidRDefault="00533913" w:rsidP="00783F28">
      <w:pPr>
        <w:spacing w:after="0" w:line="240" w:lineRule="auto"/>
        <w:jc w:val="both"/>
        <w:rPr>
          <w:b/>
          <w:sz w:val="28"/>
          <w:szCs w:val="28"/>
        </w:rPr>
      </w:pPr>
    </w:p>
    <w:p w:rsidR="00533913" w:rsidRDefault="007863A3" w:rsidP="007863A3">
      <w:pPr>
        <w:spacing w:after="0"/>
      </w:pPr>
      <w:r>
        <w:t>In addition to the areas identified above, the Academy Board recognizes that existing vendor has resourced the Academy with proprietary systems and materials.  Namely, the following:</w:t>
      </w:r>
    </w:p>
    <w:p w:rsidR="007863A3" w:rsidRDefault="007863A3" w:rsidP="007863A3">
      <w:pPr>
        <w:spacing w:after="0"/>
      </w:pPr>
    </w:p>
    <w:p w:rsidR="007863A3" w:rsidRDefault="007863A3" w:rsidP="007863A3">
      <w:pPr>
        <w:pStyle w:val="ListParagraph"/>
        <w:numPr>
          <w:ilvl w:val="0"/>
          <w:numId w:val="3"/>
        </w:numPr>
        <w:spacing w:after="0"/>
      </w:pPr>
      <w:r>
        <w:t>Proprietary item one</w:t>
      </w:r>
    </w:p>
    <w:p w:rsidR="007863A3" w:rsidRDefault="007863A3" w:rsidP="007863A3">
      <w:pPr>
        <w:pStyle w:val="ListParagraph"/>
        <w:numPr>
          <w:ilvl w:val="0"/>
          <w:numId w:val="3"/>
        </w:numPr>
        <w:spacing w:after="0"/>
      </w:pPr>
      <w:r>
        <w:t>Proprietary item two</w:t>
      </w:r>
    </w:p>
    <w:p w:rsidR="007863A3" w:rsidRDefault="007863A3" w:rsidP="007863A3">
      <w:pPr>
        <w:pStyle w:val="ListParagraph"/>
        <w:numPr>
          <w:ilvl w:val="0"/>
          <w:numId w:val="3"/>
        </w:numPr>
        <w:spacing w:after="0"/>
      </w:pPr>
      <w:r>
        <w:t>Proprietary item three</w:t>
      </w:r>
    </w:p>
    <w:p w:rsidR="007863A3" w:rsidRDefault="007863A3" w:rsidP="007863A3">
      <w:pPr>
        <w:spacing w:after="0"/>
      </w:pPr>
    </w:p>
    <w:p w:rsidR="007863A3" w:rsidRDefault="007863A3" w:rsidP="007863A3">
      <w:pPr>
        <w:spacing w:after="0"/>
      </w:pPr>
      <w:r>
        <w:t>As the Academy Board pursues a new vendor, it will consider using the new vendor to meet these needs or research</w:t>
      </w:r>
      <w:r w:rsidR="00AD2020">
        <w:t xml:space="preserve"> other options for satisfying these services.</w:t>
      </w:r>
    </w:p>
    <w:p w:rsidR="00AD2020" w:rsidRDefault="00AD2020" w:rsidP="007863A3">
      <w:pPr>
        <w:spacing w:after="0"/>
      </w:pPr>
    </w:p>
    <w:p w:rsidR="00AD2020" w:rsidRDefault="00AD2020" w:rsidP="007863A3">
      <w:pPr>
        <w:spacing w:after="0"/>
      </w:pPr>
      <w:r>
        <w:t xml:space="preserve">Additionally, the existing vendor has contracted for certain operational services.  The Academy Board has determined that it will (ASSUME CONTRACTUAL RESPONSIBILITIES OR ALLOW NEW VENDOR TO NEGOTIATE THOSE CONTRACTS).  </w:t>
      </w:r>
    </w:p>
    <w:p w:rsidR="000F23B8" w:rsidRDefault="000F23B8" w:rsidP="007863A3">
      <w:pPr>
        <w:spacing w:after="0"/>
      </w:pPr>
    </w:p>
    <w:p w:rsidR="000F23B8" w:rsidRDefault="000F23B8" w:rsidP="007863A3">
      <w:pPr>
        <w:spacing w:after="0"/>
      </w:pPr>
    </w:p>
    <w:sectPr w:rsidR="000F23B8" w:rsidSect="00783F28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3BB" w:rsidRDefault="001A33BB" w:rsidP="00783F28">
      <w:pPr>
        <w:spacing w:after="0" w:line="240" w:lineRule="auto"/>
      </w:pPr>
      <w:r>
        <w:separator/>
      </w:r>
    </w:p>
  </w:endnote>
  <w:endnote w:type="continuationSeparator" w:id="0">
    <w:p w:rsidR="001A33BB" w:rsidRDefault="001A33BB" w:rsidP="0078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F28" w:rsidRDefault="00EC0166">
    <w:pPr>
      <w:pStyle w:val="Footer"/>
    </w:pPr>
    <w:r>
      <w:t>SAMP</w:t>
    </w:r>
    <w:r w:rsidR="00F144FB">
      <w:t>LE</w:t>
    </w:r>
    <w:r>
      <w:t xml:space="preserve"> </w:t>
    </w:r>
    <w:r w:rsidR="00783F28">
      <w:t>Performance Gap Analysis</w:t>
    </w:r>
    <w:r>
      <w:t xml:space="preserve"> </w:t>
    </w:r>
    <w:r w:rsidR="00F144FB">
      <w:t>Narrative</w:t>
    </w:r>
  </w:p>
  <w:p w:rsidR="00783F28" w:rsidRDefault="00EC0166">
    <w:pPr>
      <w:pStyle w:val="Footer"/>
    </w:pPr>
    <w:r>
      <w:t>2019</w:t>
    </w:r>
  </w:p>
  <w:p w:rsidR="00783F28" w:rsidRDefault="00783F28">
    <w:pPr>
      <w:pStyle w:val="Footer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8718B">
      <w:rPr>
        <w:noProof/>
      </w:rPr>
      <w:t>2</w:t>
    </w:r>
    <w:r>
      <w:rPr>
        <w:noProof/>
      </w:rPr>
      <w:fldChar w:fldCharType="end"/>
    </w:r>
  </w:p>
  <w:p w:rsidR="00783F28" w:rsidRDefault="00783F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3BB" w:rsidRDefault="001A33BB" w:rsidP="00783F28">
      <w:pPr>
        <w:spacing w:after="0" w:line="240" w:lineRule="auto"/>
      </w:pPr>
      <w:r>
        <w:separator/>
      </w:r>
    </w:p>
  </w:footnote>
  <w:footnote w:type="continuationSeparator" w:id="0">
    <w:p w:rsidR="001A33BB" w:rsidRDefault="001A33BB" w:rsidP="00783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F28" w:rsidRDefault="001A33B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59672" o:spid="_x0000_s2053" type="#_x0000_t136" style="position:absolute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F28" w:rsidRDefault="001A33B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59673" o:spid="_x0000_s2054" type="#_x0000_t136" style="position:absolute;margin-left:0;margin-top:0;width:461.85pt;height:19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F28" w:rsidRDefault="001A33B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59671" o:spid="_x0000_s2052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59D1"/>
    <w:multiLevelType w:val="hybridMultilevel"/>
    <w:tmpl w:val="CD385D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20FDE"/>
    <w:multiLevelType w:val="hybridMultilevel"/>
    <w:tmpl w:val="F1A4E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F73D5"/>
    <w:multiLevelType w:val="hybridMultilevel"/>
    <w:tmpl w:val="2A209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13"/>
    <w:rsid w:val="000409AE"/>
    <w:rsid w:val="0008718B"/>
    <w:rsid w:val="000F23B8"/>
    <w:rsid w:val="0019422B"/>
    <w:rsid w:val="001A33BB"/>
    <w:rsid w:val="00270135"/>
    <w:rsid w:val="002A4B98"/>
    <w:rsid w:val="002F3293"/>
    <w:rsid w:val="0033127C"/>
    <w:rsid w:val="00373C93"/>
    <w:rsid w:val="00475568"/>
    <w:rsid w:val="004B7F83"/>
    <w:rsid w:val="0052588B"/>
    <w:rsid w:val="00533913"/>
    <w:rsid w:val="00556A32"/>
    <w:rsid w:val="00733840"/>
    <w:rsid w:val="00783F28"/>
    <w:rsid w:val="007863A3"/>
    <w:rsid w:val="00924B6F"/>
    <w:rsid w:val="00A00777"/>
    <w:rsid w:val="00A229C0"/>
    <w:rsid w:val="00A30DC1"/>
    <w:rsid w:val="00AD2020"/>
    <w:rsid w:val="00B55A40"/>
    <w:rsid w:val="00C02277"/>
    <w:rsid w:val="00C200DD"/>
    <w:rsid w:val="00E65ABC"/>
    <w:rsid w:val="00EC0166"/>
    <w:rsid w:val="00EE1535"/>
    <w:rsid w:val="00F144FB"/>
    <w:rsid w:val="00F47CC8"/>
    <w:rsid w:val="00F64291"/>
    <w:rsid w:val="00F9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EFF9A612-A414-4573-ACBA-7E4848D9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9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391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3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F28"/>
  </w:style>
  <w:style w:type="paragraph" w:styleId="Footer">
    <w:name w:val="footer"/>
    <w:basedOn w:val="Normal"/>
    <w:link w:val="FooterChar"/>
    <w:uiPriority w:val="99"/>
    <w:unhideWhenUsed/>
    <w:rsid w:val="00783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F28"/>
  </w:style>
  <w:style w:type="table" w:styleId="TableGrid">
    <w:name w:val="Table Grid"/>
    <w:basedOn w:val="TableNormal"/>
    <w:uiPriority w:val="39"/>
    <w:rsid w:val="0078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863A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FF240-3778-4E38-845E-E1ED525D8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Irwin</dc:creator>
  <cp:keywords/>
  <dc:description/>
  <cp:lastModifiedBy>Angela Irwin</cp:lastModifiedBy>
  <cp:revision>5</cp:revision>
  <dcterms:created xsi:type="dcterms:W3CDTF">2019-02-04T22:19:00Z</dcterms:created>
  <dcterms:modified xsi:type="dcterms:W3CDTF">2019-02-04T22:34:00Z</dcterms:modified>
</cp:coreProperties>
</file>