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089" w:rsidRDefault="000949DD" w:rsidP="00145679">
      <w:pPr>
        <w:spacing w:after="0"/>
        <w:jc w:val="center"/>
        <w:rPr>
          <w:b/>
          <w:sz w:val="28"/>
          <w:szCs w:val="28"/>
        </w:rPr>
      </w:pPr>
      <w:r w:rsidRPr="000A5FC9">
        <w:rPr>
          <w:b/>
          <w:sz w:val="28"/>
          <w:szCs w:val="28"/>
        </w:rPr>
        <w:t>Use and Finance Bi-Annual Report</w:t>
      </w:r>
      <w:r w:rsidR="005F4C9E">
        <w:rPr>
          <w:b/>
          <w:sz w:val="28"/>
          <w:szCs w:val="28"/>
        </w:rPr>
        <w:t>ing Form</w:t>
      </w:r>
    </w:p>
    <w:p w:rsidR="00145679" w:rsidRPr="000A5FC9" w:rsidRDefault="00145679" w:rsidP="003026C7">
      <w:pPr>
        <w:tabs>
          <w:tab w:val="left" w:pos="3240"/>
          <w:tab w:val="left" w:pos="3690"/>
        </w:tabs>
        <w:spacing w:after="0"/>
        <w:jc w:val="center"/>
        <w:rPr>
          <w:b/>
          <w:sz w:val="28"/>
          <w:szCs w:val="28"/>
        </w:rPr>
      </w:pPr>
    </w:p>
    <w:p w:rsidR="000949DD" w:rsidRDefault="00514DCD" w:rsidP="003026C7">
      <w:pPr>
        <w:tabs>
          <w:tab w:val="left" w:pos="3150"/>
          <w:tab w:val="left" w:pos="3240"/>
          <w:tab w:val="left" w:pos="3690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Reporting Period</w:t>
      </w:r>
      <w:r w:rsidR="0016026C">
        <w:rPr>
          <w:b/>
          <w:sz w:val="24"/>
          <w:szCs w:val="24"/>
        </w:rPr>
        <w:t xml:space="preserve"> (check one)</w:t>
      </w:r>
      <w:r w:rsidR="00145679">
        <w:rPr>
          <w:b/>
          <w:sz w:val="24"/>
          <w:szCs w:val="24"/>
        </w:rPr>
        <w:t>:</w:t>
      </w:r>
      <w:r w:rsidR="002004F0">
        <w:rPr>
          <w:b/>
          <w:sz w:val="24"/>
          <w:szCs w:val="24"/>
        </w:rPr>
        <w:tab/>
      </w:r>
      <w:r w:rsidR="00977648" w:rsidRPr="00521599">
        <w:rPr>
          <w:rFonts w:ascii="Cambria Math" w:hAnsi="Cambria Math" w:cs="Cambria Math"/>
          <w:b/>
          <w:sz w:val="32"/>
          <w:szCs w:val="24"/>
        </w:rPr>
        <w:t>⌧</w:t>
      </w:r>
      <w:r w:rsidR="003026C7">
        <w:rPr>
          <w:rFonts w:ascii="Cambria Math" w:hAnsi="Cambria Math" w:cs="Cambria Math"/>
          <w:b/>
          <w:sz w:val="32"/>
          <w:szCs w:val="24"/>
        </w:rPr>
        <w:t xml:space="preserve">   </w:t>
      </w:r>
      <w:r w:rsidR="008C7B3B" w:rsidRPr="008C7B3B">
        <w:rPr>
          <w:b/>
          <w:sz w:val="24"/>
          <w:szCs w:val="24"/>
          <w:u w:val="single"/>
        </w:rPr>
        <w:t>January</w:t>
      </w:r>
      <w:r w:rsidR="00145679" w:rsidRPr="008C7B3B">
        <w:rPr>
          <w:b/>
          <w:sz w:val="24"/>
          <w:szCs w:val="24"/>
          <w:u w:val="single"/>
        </w:rPr>
        <w:t xml:space="preserve"> </w:t>
      </w:r>
      <w:r w:rsidR="008C7B3B">
        <w:rPr>
          <w:b/>
          <w:sz w:val="24"/>
          <w:szCs w:val="24"/>
          <w:u w:val="single"/>
        </w:rPr>
        <w:t xml:space="preserve">1, </w:t>
      </w:r>
      <w:r w:rsidR="00977648">
        <w:rPr>
          <w:b/>
          <w:sz w:val="24"/>
          <w:szCs w:val="24"/>
          <w:u w:val="single"/>
        </w:rPr>
        <w:t>202</w:t>
      </w:r>
      <w:r w:rsidR="00E15701">
        <w:rPr>
          <w:b/>
          <w:sz w:val="24"/>
          <w:szCs w:val="24"/>
          <w:u w:val="single"/>
        </w:rPr>
        <w:t>2</w:t>
      </w:r>
      <w:r w:rsidR="00145679" w:rsidRPr="00145679">
        <w:rPr>
          <w:b/>
          <w:sz w:val="24"/>
          <w:szCs w:val="24"/>
          <w:u w:val="single"/>
        </w:rPr>
        <w:t xml:space="preserve"> through </w:t>
      </w:r>
      <w:r w:rsidR="008C7B3B">
        <w:rPr>
          <w:b/>
          <w:sz w:val="24"/>
          <w:szCs w:val="24"/>
          <w:u w:val="single"/>
        </w:rPr>
        <w:t>June 30,</w:t>
      </w:r>
      <w:r w:rsidR="00E15701">
        <w:rPr>
          <w:b/>
          <w:sz w:val="24"/>
          <w:szCs w:val="24"/>
          <w:u w:val="single"/>
        </w:rPr>
        <w:t xml:space="preserve"> 2022</w:t>
      </w:r>
    </w:p>
    <w:p w:rsidR="0016026C" w:rsidRPr="00FC5526" w:rsidRDefault="0016026C" w:rsidP="003026C7">
      <w:pPr>
        <w:tabs>
          <w:tab w:val="left" w:pos="3150"/>
          <w:tab w:val="left" w:pos="3240"/>
          <w:tab w:val="left" w:pos="369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977648">
        <w:rPr>
          <w:rFonts w:ascii="Cambria Math" w:hAnsi="Cambria Math" w:cs="Cambria Math"/>
          <w:b/>
          <w:sz w:val="32"/>
          <w:szCs w:val="24"/>
        </w:rPr>
        <w:sym w:font="Wingdings" w:char="F0A8"/>
      </w:r>
      <w:r w:rsidR="003026C7">
        <w:rPr>
          <w:rFonts w:ascii="Cambria Math" w:hAnsi="Cambria Math" w:cs="Cambria Math"/>
          <w:b/>
          <w:sz w:val="32"/>
          <w:szCs w:val="24"/>
        </w:rPr>
        <w:t xml:space="preserve">   </w:t>
      </w:r>
      <w:r w:rsidRPr="008C7B3B">
        <w:rPr>
          <w:b/>
          <w:sz w:val="24"/>
          <w:szCs w:val="24"/>
          <w:u w:val="single"/>
        </w:rPr>
        <w:t>J</w:t>
      </w:r>
      <w:r>
        <w:rPr>
          <w:b/>
          <w:sz w:val="24"/>
          <w:szCs w:val="24"/>
          <w:u w:val="single"/>
        </w:rPr>
        <w:t>uly</w:t>
      </w:r>
      <w:r w:rsidRPr="008C7B3B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1, </w:t>
      </w:r>
      <w:r w:rsidR="00E15701">
        <w:rPr>
          <w:b/>
          <w:sz w:val="24"/>
          <w:szCs w:val="24"/>
          <w:u w:val="single"/>
        </w:rPr>
        <w:t>2022</w:t>
      </w:r>
      <w:bookmarkStart w:id="0" w:name="_GoBack"/>
      <w:bookmarkEnd w:id="0"/>
      <w:r w:rsidR="00C4618E">
        <w:rPr>
          <w:b/>
          <w:sz w:val="24"/>
          <w:szCs w:val="24"/>
          <w:u w:val="single"/>
        </w:rPr>
        <w:t xml:space="preserve"> </w:t>
      </w:r>
      <w:r w:rsidRPr="00145679">
        <w:rPr>
          <w:b/>
          <w:sz w:val="24"/>
          <w:szCs w:val="24"/>
          <w:u w:val="single"/>
        </w:rPr>
        <w:t xml:space="preserve">through </w:t>
      </w:r>
      <w:r>
        <w:rPr>
          <w:b/>
          <w:sz w:val="24"/>
          <w:szCs w:val="24"/>
          <w:u w:val="single"/>
        </w:rPr>
        <w:t>December 31,</w:t>
      </w:r>
      <w:r w:rsidR="00E15701">
        <w:rPr>
          <w:b/>
          <w:sz w:val="24"/>
          <w:szCs w:val="24"/>
          <w:u w:val="single"/>
        </w:rPr>
        <w:t xml:space="preserve"> 2022</w:t>
      </w:r>
    </w:p>
    <w:p w:rsidR="000949DD" w:rsidRPr="005F4C9E" w:rsidRDefault="005F4C9E" w:rsidP="000949DD">
      <w:pPr>
        <w:spacing w:after="0"/>
        <w:rPr>
          <w:b/>
          <w:sz w:val="24"/>
          <w:szCs w:val="24"/>
        </w:rPr>
      </w:pPr>
      <w:r w:rsidRPr="005F4C9E">
        <w:rPr>
          <w:b/>
          <w:sz w:val="24"/>
          <w:szCs w:val="24"/>
        </w:rPr>
        <w:t>University/Colleg</w:t>
      </w:r>
      <w:r w:rsidR="00145679">
        <w:rPr>
          <w:b/>
          <w:sz w:val="24"/>
          <w:szCs w:val="24"/>
        </w:rPr>
        <w:t xml:space="preserve">e:  </w:t>
      </w:r>
      <w:r w:rsidR="002004F0">
        <w:rPr>
          <w:b/>
          <w:sz w:val="24"/>
          <w:szCs w:val="24"/>
        </w:rPr>
        <w:t>Lake Superior State University</w:t>
      </w:r>
    </w:p>
    <w:p w:rsidR="005F4C9E" w:rsidRDefault="004515B4" w:rsidP="000949D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Number of</w:t>
      </w:r>
      <w:r w:rsidR="00705C8B" w:rsidRPr="00705C8B">
        <w:rPr>
          <w:b/>
          <w:sz w:val="24"/>
          <w:szCs w:val="24"/>
        </w:rPr>
        <w:t xml:space="preserve"> Projects to Report</w:t>
      </w:r>
      <w:r>
        <w:rPr>
          <w:b/>
          <w:sz w:val="24"/>
          <w:szCs w:val="24"/>
        </w:rPr>
        <w:t xml:space="preserve">:   </w:t>
      </w:r>
      <w:r w:rsidR="00977648">
        <w:rPr>
          <w:b/>
          <w:sz w:val="24"/>
          <w:szCs w:val="24"/>
        </w:rPr>
        <w:t>0</w:t>
      </w:r>
    </w:p>
    <w:p w:rsidR="009028AA" w:rsidRPr="00705C8B" w:rsidRDefault="009028AA" w:rsidP="000949D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Estimated Impact on Tuition and Fee Rates:</w:t>
      </w:r>
      <w:r>
        <w:rPr>
          <w:rStyle w:val="FootnoteReference"/>
          <w:b/>
          <w:sz w:val="24"/>
          <w:szCs w:val="24"/>
        </w:rPr>
        <w:footnoteReference w:id="1"/>
      </w:r>
      <w:r>
        <w:rPr>
          <w:b/>
          <w:sz w:val="24"/>
          <w:szCs w:val="24"/>
        </w:rPr>
        <w:t xml:space="preserve">  </w:t>
      </w:r>
      <w:r w:rsidR="002004F0">
        <w:rPr>
          <w:b/>
          <w:sz w:val="24"/>
          <w:szCs w:val="24"/>
        </w:rPr>
        <w:t>$0.00</w:t>
      </w:r>
    </w:p>
    <w:p w:rsidR="00705C8B" w:rsidRPr="005F4C9E" w:rsidRDefault="00705C8B" w:rsidP="000949DD">
      <w:pPr>
        <w:spacing w:after="0"/>
        <w:rPr>
          <w:b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4050"/>
        <w:gridCol w:w="1890"/>
        <w:gridCol w:w="3960"/>
        <w:gridCol w:w="2790"/>
      </w:tblGrid>
      <w:tr w:rsidR="00DF0C3D" w:rsidTr="00B121A8">
        <w:trPr>
          <w:tblHeader/>
        </w:trPr>
        <w:tc>
          <w:tcPr>
            <w:tcW w:w="378" w:type="dxa"/>
            <w:shd w:val="clear" w:color="auto" w:fill="D9D9D9"/>
          </w:tcPr>
          <w:p w:rsidR="00DF0C3D" w:rsidRPr="00FC5526" w:rsidRDefault="00DF0C3D" w:rsidP="005F4C9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050" w:type="dxa"/>
            <w:shd w:val="clear" w:color="auto" w:fill="D9D9D9"/>
            <w:vAlign w:val="bottom"/>
          </w:tcPr>
          <w:p w:rsidR="00DF0C3D" w:rsidRPr="00FC5526" w:rsidRDefault="00DF0C3D" w:rsidP="005F4C9E">
            <w:pPr>
              <w:spacing w:after="0"/>
              <w:jc w:val="center"/>
              <w:rPr>
                <w:b/>
              </w:rPr>
            </w:pPr>
            <w:r w:rsidRPr="00FC5526">
              <w:rPr>
                <w:b/>
              </w:rPr>
              <w:t>Project Description</w:t>
            </w:r>
          </w:p>
        </w:tc>
        <w:tc>
          <w:tcPr>
            <w:tcW w:w="1890" w:type="dxa"/>
            <w:shd w:val="clear" w:color="auto" w:fill="D9D9D9"/>
            <w:vAlign w:val="bottom"/>
          </w:tcPr>
          <w:p w:rsidR="00DF0C3D" w:rsidRPr="00FC5526" w:rsidRDefault="00DF0C3D" w:rsidP="004515B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Project Timeline</w:t>
            </w:r>
          </w:p>
        </w:tc>
        <w:tc>
          <w:tcPr>
            <w:tcW w:w="3960" w:type="dxa"/>
            <w:shd w:val="clear" w:color="auto" w:fill="D9D9D9"/>
            <w:vAlign w:val="bottom"/>
          </w:tcPr>
          <w:p w:rsidR="00DF0C3D" w:rsidRPr="00FC5526" w:rsidRDefault="00DF0C3D" w:rsidP="00AF1F34">
            <w:pPr>
              <w:spacing w:after="0"/>
              <w:jc w:val="center"/>
              <w:rPr>
                <w:b/>
              </w:rPr>
            </w:pPr>
            <w:r w:rsidRPr="00FC5526">
              <w:rPr>
                <w:b/>
              </w:rPr>
              <w:t>Project Costs</w:t>
            </w:r>
          </w:p>
        </w:tc>
        <w:tc>
          <w:tcPr>
            <w:tcW w:w="2790" w:type="dxa"/>
            <w:shd w:val="clear" w:color="auto" w:fill="D9D9D9"/>
            <w:vAlign w:val="bottom"/>
          </w:tcPr>
          <w:p w:rsidR="00DF0C3D" w:rsidRPr="00FC5526" w:rsidRDefault="00DF0C3D" w:rsidP="005F4C9E">
            <w:pPr>
              <w:spacing w:after="0"/>
              <w:jc w:val="center"/>
              <w:rPr>
                <w:b/>
              </w:rPr>
            </w:pPr>
            <w:r w:rsidRPr="00FC5526">
              <w:rPr>
                <w:b/>
              </w:rPr>
              <w:t>Funding Source</w:t>
            </w:r>
            <w:r>
              <w:rPr>
                <w:b/>
              </w:rPr>
              <w:t>s</w:t>
            </w:r>
          </w:p>
        </w:tc>
      </w:tr>
      <w:tr w:rsidR="00DF0C3D" w:rsidTr="00B121A8">
        <w:tc>
          <w:tcPr>
            <w:tcW w:w="378" w:type="dxa"/>
          </w:tcPr>
          <w:p w:rsidR="00DF0C3D" w:rsidRDefault="00DF0C3D" w:rsidP="00114030">
            <w:pPr>
              <w:pStyle w:val="ListParagraph"/>
              <w:numPr>
                <w:ilvl w:val="0"/>
                <w:numId w:val="2"/>
              </w:numPr>
              <w:spacing w:after="0"/>
            </w:pPr>
          </w:p>
        </w:tc>
        <w:tc>
          <w:tcPr>
            <w:tcW w:w="4050" w:type="dxa"/>
            <w:shd w:val="clear" w:color="auto" w:fill="auto"/>
          </w:tcPr>
          <w:p w:rsidR="00DF0C3D" w:rsidRDefault="00DF0C3D" w:rsidP="005E3E07">
            <w:pPr>
              <w:spacing w:after="0"/>
            </w:pPr>
          </w:p>
        </w:tc>
        <w:tc>
          <w:tcPr>
            <w:tcW w:w="1890" w:type="dxa"/>
            <w:shd w:val="clear" w:color="auto" w:fill="auto"/>
          </w:tcPr>
          <w:p w:rsidR="00DF0C3D" w:rsidRDefault="00DF0C3D" w:rsidP="00FC5526">
            <w:pPr>
              <w:spacing w:after="0"/>
            </w:pPr>
          </w:p>
        </w:tc>
        <w:tc>
          <w:tcPr>
            <w:tcW w:w="3960" w:type="dxa"/>
            <w:shd w:val="clear" w:color="auto" w:fill="auto"/>
          </w:tcPr>
          <w:p w:rsidR="00DF0C3D" w:rsidRDefault="00DF0C3D" w:rsidP="005E3E07">
            <w:pPr>
              <w:tabs>
                <w:tab w:val="right" w:pos="3564"/>
              </w:tabs>
              <w:spacing w:after="0"/>
            </w:pPr>
          </w:p>
        </w:tc>
        <w:tc>
          <w:tcPr>
            <w:tcW w:w="2790" w:type="dxa"/>
            <w:shd w:val="clear" w:color="auto" w:fill="auto"/>
          </w:tcPr>
          <w:p w:rsidR="00DF0C3D" w:rsidRDefault="00DF0C3D" w:rsidP="005E3E07">
            <w:pPr>
              <w:tabs>
                <w:tab w:val="right" w:pos="2484"/>
              </w:tabs>
              <w:spacing w:after="0"/>
            </w:pPr>
          </w:p>
        </w:tc>
      </w:tr>
      <w:tr w:rsidR="00B121A8" w:rsidTr="00B121A8">
        <w:tc>
          <w:tcPr>
            <w:tcW w:w="378" w:type="dxa"/>
          </w:tcPr>
          <w:p w:rsidR="00B121A8" w:rsidRDefault="00B121A8" w:rsidP="00720576">
            <w:pPr>
              <w:pStyle w:val="ListParagraph"/>
              <w:numPr>
                <w:ilvl w:val="0"/>
                <w:numId w:val="2"/>
              </w:numPr>
              <w:spacing w:after="0"/>
            </w:pPr>
          </w:p>
        </w:tc>
        <w:tc>
          <w:tcPr>
            <w:tcW w:w="4050" w:type="dxa"/>
            <w:shd w:val="clear" w:color="auto" w:fill="auto"/>
          </w:tcPr>
          <w:p w:rsidR="00B121A8" w:rsidRDefault="00B121A8" w:rsidP="00720576">
            <w:pPr>
              <w:spacing w:after="0"/>
            </w:pPr>
          </w:p>
        </w:tc>
        <w:tc>
          <w:tcPr>
            <w:tcW w:w="1890" w:type="dxa"/>
            <w:shd w:val="clear" w:color="auto" w:fill="auto"/>
          </w:tcPr>
          <w:p w:rsidR="00B121A8" w:rsidRDefault="00B121A8" w:rsidP="00720576">
            <w:pPr>
              <w:spacing w:after="0"/>
            </w:pPr>
            <w:r>
              <w:t xml:space="preserve"> </w:t>
            </w:r>
          </w:p>
        </w:tc>
        <w:tc>
          <w:tcPr>
            <w:tcW w:w="3960" w:type="dxa"/>
            <w:shd w:val="clear" w:color="auto" w:fill="auto"/>
          </w:tcPr>
          <w:p w:rsidR="00B121A8" w:rsidRDefault="00B121A8" w:rsidP="00720576">
            <w:pPr>
              <w:spacing w:after="0"/>
            </w:pPr>
          </w:p>
        </w:tc>
        <w:tc>
          <w:tcPr>
            <w:tcW w:w="2790" w:type="dxa"/>
            <w:shd w:val="clear" w:color="auto" w:fill="auto"/>
          </w:tcPr>
          <w:p w:rsidR="00B121A8" w:rsidRDefault="00B121A8" w:rsidP="00720576">
            <w:pPr>
              <w:spacing w:after="0"/>
            </w:pPr>
          </w:p>
        </w:tc>
      </w:tr>
    </w:tbl>
    <w:p w:rsidR="00941833" w:rsidRDefault="005F4C9E" w:rsidP="00117D29">
      <w:pPr>
        <w:rPr>
          <w:u w:val="single"/>
        </w:rPr>
      </w:pPr>
      <w:r>
        <w:br w:type="page"/>
      </w:r>
      <w:r w:rsidRPr="005F4C9E">
        <w:rPr>
          <w:u w:val="single"/>
        </w:rPr>
        <w:lastRenderedPageBreak/>
        <w:t>Instructions</w:t>
      </w:r>
      <w:r w:rsidR="00AA7995">
        <w:rPr>
          <w:u w:val="single"/>
        </w:rPr>
        <w:t>:</w:t>
      </w:r>
    </w:p>
    <w:p w:rsidR="00AA7995" w:rsidRDefault="008D5200" w:rsidP="00AA7995">
      <w:pPr>
        <w:numPr>
          <w:ilvl w:val="0"/>
          <w:numId w:val="1"/>
        </w:numPr>
        <w:rPr>
          <w:b/>
          <w:bCs/>
        </w:rPr>
      </w:pPr>
      <w:r>
        <w:t xml:space="preserve">Projects </w:t>
      </w:r>
      <w:r w:rsidR="007919B9">
        <w:t xml:space="preserve">shall be </w:t>
      </w:r>
      <w:r>
        <w:t>reported</w:t>
      </w:r>
      <w:r w:rsidR="007919B9">
        <w:t xml:space="preserve"> </w:t>
      </w:r>
      <w:r w:rsidR="003A6DF9">
        <w:t xml:space="preserve">on this standard form </w:t>
      </w:r>
      <w:r w:rsidR="007919B9">
        <w:t xml:space="preserve">and submitted to the </w:t>
      </w:r>
      <w:r w:rsidR="00AA7995" w:rsidRPr="00073983">
        <w:t>J</w:t>
      </w:r>
      <w:r w:rsidR="00AA7995">
        <w:t>oint Capital Outlay Subcommittee</w:t>
      </w:r>
      <w:r w:rsidR="00AA7995" w:rsidRPr="00073983">
        <w:t xml:space="preserve">, the fiscal agencies, and the </w:t>
      </w:r>
      <w:r w:rsidR="00AA7995">
        <w:t>S</w:t>
      </w:r>
      <w:r w:rsidR="00AA7995" w:rsidRPr="00073983">
        <w:t xml:space="preserve">tate </w:t>
      </w:r>
      <w:r w:rsidR="00AA7995">
        <w:t>B</w:t>
      </w:r>
      <w:r w:rsidR="00AA7995" w:rsidRPr="00073983">
        <w:t xml:space="preserve">udget </w:t>
      </w:r>
      <w:r w:rsidR="00AA7995">
        <w:t>O</w:t>
      </w:r>
      <w:r w:rsidR="00AA7995" w:rsidRPr="00073983">
        <w:t xml:space="preserve">ffice </w:t>
      </w:r>
      <w:r w:rsidR="00AA7995" w:rsidRPr="007919B9">
        <w:rPr>
          <w:b/>
          <w:i/>
        </w:rPr>
        <w:t>on or before June 30 and December 31 of each year</w:t>
      </w:r>
      <w:r w:rsidR="00AA7995" w:rsidRPr="00073983">
        <w:t>.</w:t>
      </w:r>
      <w:r w:rsidR="00AA7995">
        <w:t xml:space="preserve">  Submission to the above parties shall be accomplished by posting the reports on the institution's website under the "</w:t>
      </w:r>
      <w:r w:rsidR="00AA7995" w:rsidRPr="00AA7995">
        <w:rPr>
          <w:bCs/>
        </w:rPr>
        <w:t>Budget and Performance Transparency Reporting</w:t>
      </w:r>
      <w:r w:rsidR="007919B9">
        <w:rPr>
          <w:bCs/>
        </w:rPr>
        <w:t>" section.</w:t>
      </w:r>
      <w:r w:rsidR="00AA7995" w:rsidRPr="00AA7995">
        <w:rPr>
          <w:b/>
          <w:bCs/>
        </w:rPr>
        <w:t xml:space="preserve"> </w:t>
      </w:r>
      <w:r w:rsidR="007919B9">
        <w:rPr>
          <w:b/>
          <w:bCs/>
        </w:rPr>
        <w:t xml:space="preserve"> </w:t>
      </w:r>
      <w:r w:rsidR="007919B9">
        <w:rPr>
          <w:bCs/>
        </w:rPr>
        <w:t xml:space="preserve">If an institution has no projects to report for a six-month period, </w:t>
      </w:r>
      <w:r w:rsidR="004515B4">
        <w:rPr>
          <w:bCs/>
        </w:rPr>
        <w:t>enter "None" next to "Number of Projects to Report</w:t>
      </w:r>
      <w:r>
        <w:rPr>
          <w:bCs/>
        </w:rPr>
        <w:t xml:space="preserve">" </w:t>
      </w:r>
      <w:r w:rsidR="00705C8B">
        <w:rPr>
          <w:bCs/>
        </w:rPr>
        <w:t xml:space="preserve">located on the </w:t>
      </w:r>
      <w:r>
        <w:rPr>
          <w:bCs/>
        </w:rPr>
        <w:t xml:space="preserve">top of the </w:t>
      </w:r>
      <w:r w:rsidR="00705C8B">
        <w:rPr>
          <w:bCs/>
        </w:rPr>
        <w:t>form</w:t>
      </w:r>
      <w:r>
        <w:rPr>
          <w:bCs/>
        </w:rPr>
        <w:t>.</w:t>
      </w:r>
      <w:r w:rsidR="007919B9">
        <w:rPr>
          <w:b/>
          <w:bCs/>
        </w:rPr>
        <w:t xml:space="preserve"> </w:t>
      </w:r>
    </w:p>
    <w:p w:rsidR="00344F70" w:rsidRPr="003A6DF9" w:rsidRDefault="00344F70" w:rsidP="00344F70">
      <w:pPr>
        <w:numPr>
          <w:ilvl w:val="0"/>
          <w:numId w:val="1"/>
        </w:numPr>
        <w:rPr>
          <w:u w:val="single"/>
        </w:rPr>
      </w:pPr>
      <w:r>
        <w:t xml:space="preserve">Reports shall include </w:t>
      </w:r>
      <w:r w:rsidRPr="005F4C9E">
        <w:t xml:space="preserve">all contracts entered into for new construction of </w:t>
      </w:r>
      <w:r w:rsidRPr="00344F70">
        <w:rPr>
          <w:b/>
          <w:i/>
        </w:rPr>
        <w:t>self-funded projects costing in excess of $1,000,000.00</w:t>
      </w:r>
      <w:r w:rsidRPr="005F4C9E">
        <w:t>.</w:t>
      </w:r>
      <w:r>
        <w:t xml:space="preserve"> </w:t>
      </w:r>
      <w:r w:rsidRPr="005F4C9E">
        <w:t xml:space="preserve"> </w:t>
      </w:r>
      <w:r w:rsidRPr="00344F70">
        <w:t xml:space="preserve">Projects funded by State capital outlay appropriations are not to be included in these reports.  </w:t>
      </w:r>
      <w:r>
        <w:t xml:space="preserve">Once submitted, a project does not have to be listed in any subsequent report, unless a </w:t>
      </w:r>
      <w:r w:rsidR="008D5200">
        <w:t xml:space="preserve">change in project </w:t>
      </w:r>
      <w:r>
        <w:t xml:space="preserve">cost has occurred.  In such case, the </w:t>
      </w:r>
      <w:r w:rsidR="008D5200">
        <w:t xml:space="preserve">subsequent </w:t>
      </w:r>
      <w:r>
        <w:t>use and finance report sh</w:t>
      </w:r>
      <w:r w:rsidR="008D5200">
        <w:t>all</w:t>
      </w:r>
      <w:r>
        <w:t xml:space="preserve"> clearly state that the project cost </w:t>
      </w:r>
      <w:r w:rsidR="008D5200">
        <w:t xml:space="preserve">has changed, </w:t>
      </w:r>
      <w:r>
        <w:t>list</w:t>
      </w:r>
      <w:r w:rsidR="008D5200">
        <w:t>ing</w:t>
      </w:r>
      <w:r>
        <w:t xml:space="preserve"> the dollar </w:t>
      </w:r>
      <w:r w:rsidR="008D5200">
        <w:t xml:space="preserve">amount of the </w:t>
      </w:r>
      <w:r>
        <w:t>change, and</w:t>
      </w:r>
      <w:r w:rsidR="008D5200">
        <w:t xml:space="preserve"> including</w:t>
      </w:r>
      <w:r>
        <w:t xml:space="preserve"> reasons for the cost </w:t>
      </w:r>
      <w:r w:rsidR="008D5200">
        <w:t>change</w:t>
      </w:r>
      <w:r>
        <w:t xml:space="preserve">. </w:t>
      </w:r>
    </w:p>
    <w:p w:rsidR="003A6DF9" w:rsidRPr="00543E32" w:rsidRDefault="003A6DF9" w:rsidP="00344F70">
      <w:pPr>
        <w:numPr>
          <w:ilvl w:val="0"/>
          <w:numId w:val="1"/>
        </w:numPr>
        <w:rPr>
          <w:u w:val="single"/>
        </w:rPr>
      </w:pPr>
      <w:r w:rsidRPr="005F4C9E">
        <w:t>New construction includes land or property acquisition, remodeling and additions, maintenance projects, roads, landscaping, equipment, telecommunications, utilities, a</w:t>
      </w:r>
      <w:r>
        <w:t xml:space="preserve">nd parking lots and structures.  </w:t>
      </w:r>
    </w:p>
    <w:p w:rsidR="00344F70" w:rsidRPr="00344F70" w:rsidRDefault="008A1953" w:rsidP="005F4C9E">
      <w:pPr>
        <w:numPr>
          <w:ilvl w:val="0"/>
          <w:numId w:val="1"/>
        </w:numPr>
        <w:rPr>
          <w:u w:val="single"/>
        </w:rPr>
      </w:pPr>
      <w:r>
        <w:t>Project Description should include a basic overview of the project</w:t>
      </w:r>
      <w:r w:rsidR="00756D2A">
        <w:t xml:space="preserve"> including the purpose and justification for the project.</w:t>
      </w:r>
      <w:r w:rsidR="00AA7995">
        <w:t xml:space="preserve"> </w:t>
      </w:r>
    </w:p>
    <w:p w:rsidR="00073983" w:rsidRPr="00073983" w:rsidRDefault="007919B9" w:rsidP="005F4C9E">
      <w:pPr>
        <w:numPr>
          <w:ilvl w:val="0"/>
          <w:numId w:val="1"/>
        </w:numPr>
        <w:rPr>
          <w:u w:val="single"/>
        </w:rPr>
      </w:pPr>
      <w:r>
        <w:t xml:space="preserve">Reports shall </w:t>
      </w:r>
      <w:r w:rsidR="006405F6">
        <w:t>detail</w:t>
      </w:r>
      <w:r>
        <w:t xml:space="preserve"> by amount the funding sources that are supporting a project</w:t>
      </w:r>
      <w:r w:rsidR="006405F6">
        <w:t xml:space="preserve"> (</w:t>
      </w:r>
      <w:r>
        <w:t>e.g. tuition, fees, bond funds, millage, donations, etc.</w:t>
      </w:r>
      <w:r w:rsidR="006405F6">
        <w:t>).</w:t>
      </w:r>
    </w:p>
    <w:p w:rsidR="00AB24E1" w:rsidRDefault="00AB24E1" w:rsidP="00AB24E1">
      <w:pPr>
        <w:numPr>
          <w:ilvl w:val="0"/>
          <w:numId w:val="1"/>
        </w:numPr>
      </w:pPr>
      <w:r w:rsidRPr="00400C9A">
        <w:rPr>
          <w:b/>
          <w:i/>
        </w:rPr>
        <w:t xml:space="preserve">Penalties: </w:t>
      </w:r>
      <w:r>
        <w:t xml:space="preserve"> Statutory language in the appropriation act for Universities and Community Colleges provides that institutions </w:t>
      </w:r>
      <w:r w:rsidRPr="00AB24E1">
        <w:t xml:space="preserve">shall comply with the current use and finance requirements of the </w:t>
      </w:r>
      <w:r w:rsidR="008D5200">
        <w:t>J</w:t>
      </w:r>
      <w:r w:rsidRPr="00AB24E1">
        <w:t xml:space="preserve">oint </w:t>
      </w:r>
      <w:r w:rsidR="008D5200">
        <w:t>C</w:t>
      </w:r>
      <w:r w:rsidRPr="00AB24E1">
        <w:t xml:space="preserve">apital </w:t>
      </w:r>
      <w:r w:rsidR="008D5200">
        <w:t>O</w:t>
      </w:r>
      <w:r w:rsidRPr="00AB24E1">
        <w:t xml:space="preserve">utlay </w:t>
      </w:r>
      <w:r w:rsidR="008D5200">
        <w:t>S</w:t>
      </w:r>
      <w:r w:rsidRPr="00AB24E1">
        <w:t>ubcommittee</w:t>
      </w:r>
      <w:r>
        <w:t xml:space="preserve"> and provides for a 1.0% reduction in State appropriations for </w:t>
      </w:r>
      <w:r w:rsidRPr="00AB24E1">
        <w:t>each violation.</w:t>
      </w:r>
    </w:p>
    <w:p w:rsidR="00AB24E1" w:rsidRDefault="00AB24E1" w:rsidP="00AB24E1">
      <w:pPr>
        <w:rPr>
          <w:u w:val="single"/>
        </w:rPr>
      </w:pPr>
      <w:r w:rsidRPr="00AB24E1">
        <w:rPr>
          <w:u w:val="single"/>
        </w:rPr>
        <w:t>Statutory References</w:t>
      </w:r>
    </w:p>
    <w:p w:rsidR="00AB24E1" w:rsidRDefault="00AB24E1" w:rsidP="00AB24E1">
      <w:r>
        <w:t>Management and Budget Act</w:t>
      </w:r>
      <w:r w:rsidR="005F53C3">
        <w:t xml:space="preserve">, 1984 PA 431, Section 238, </w:t>
      </w:r>
      <w:r>
        <w:t>MCL 18.1238</w:t>
      </w:r>
    </w:p>
    <w:p w:rsidR="005F53C3" w:rsidRDefault="005F53C3" w:rsidP="00AB24E1">
      <w:r>
        <w:t>State School Aid Act, 1979 PA 94, Section 208</w:t>
      </w:r>
      <w:r w:rsidR="00B00EA2">
        <w:t>, MCL 388.</w:t>
      </w:r>
      <w:r w:rsidR="009D7A33">
        <w:t>1808</w:t>
      </w:r>
    </w:p>
    <w:p w:rsidR="00AB24E1" w:rsidRPr="00AB24E1" w:rsidRDefault="00AB24E1" w:rsidP="00AB24E1">
      <w:r>
        <w:t>State School</w:t>
      </w:r>
      <w:r w:rsidR="005F53C3">
        <w:t xml:space="preserve"> Aid Act, 1979 PA 94, Section 275a</w:t>
      </w:r>
      <w:r w:rsidR="00B00EA2">
        <w:t>, MCL 388.</w:t>
      </w:r>
      <w:r w:rsidR="009D7A33">
        <w:t>1875a</w:t>
      </w:r>
    </w:p>
    <w:sectPr w:rsidR="00AB24E1" w:rsidRPr="00AB24E1" w:rsidSect="000949DD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F68" w:rsidRDefault="00991F68" w:rsidP="00FC5526">
      <w:pPr>
        <w:spacing w:after="0" w:line="240" w:lineRule="auto"/>
      </w:pPr>
      <w:r>
        <w:separator/>
      </w:r>
    </w:p>
  </w:endnote>
  <w:endnote w:type="continuationSeparator" w:id="0">
    <w:p w:rsidR="00991F68" w:rsidRDefault="00991F68" w:rsidP="00FC5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F70" w:rsidRDefault="00344F70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E15701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E1570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344F70" w:rsidRDefault="00344F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F68" w:rsidRDefault="00991F68" w:rsidP="00FC5526">
      <w:pPr>
        <w:spacing w:after="0" w:line="240" w:lineRule="auto"/>
      </w:pPr>
      <w:r>
        <w:separator/>
      </w:r>
    </w:p>
  </w:footnote>
  <w:footnote w:type="continuationSeparator" w:id="0">
    <w:p w:rsidR="00991F68" w:rsidRDefault="00991F68" w:rsidP="00FC5526">
      <w:pPr>
        <w:spacing w:after="0" w:line="240" w:lineRule="auto"/>
      </w:pPr>
      <w:r>
        <w:continuationSeparator/>
      </w:r>
    </w:p>
  </w:footnote>
  <w:footnote w:id="1">
    <w:p w:rsidR="009028AA" w:rsidRDefault="009028AA">
      <w:pPr>
        <w:pStyle w:val="FootnoteText"/>
      </w:pPr>
      <w:r>
        <w:rPr>
          <w:rStyle w:val="FootnoteReference"/>
        </w:rPr>
        <w:footnoteRef/>
      </w:r>
      <w:r>
        <w:t xml:space="preserve"> This amount shall be calculated by dividing the amount of tuition revenue that is annually budgeted for the institution's share of a project's cost by the most recent fiscal year equated student count for the institution.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9393E"/>
    <w:multiLevelType w:val="hybridMultilevel"/>
    <w:tmpl w:val="BD40DDCC"/>
    <w:lvl w:ilvl="0" w:tplc="569CFC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E432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DD"/>
    <w:rsid w:val="00050A42"/>
    <w:rsid w:val="00073983"/>
    <w:rsid w:val="000949DD"/>
    <w:rsid w:val="000A5FC9"/>
    <w:rsid w:val="001070BB"/>
    <w:rsid w:val="00114030"/>
    <w:rsid w:val="0011638C"/>
    <w:rsid w:val="00117D29"/>
    <w:rsid w:val="0013692F"/>
    <w:rsid w:val="00145679"/>
    <w:rsid w:val="0016026C"/>
    <w:rsid w:val="001A0AF6"/>
    <w:rsid w:val="001D1DAC"/>
    <w:rsid w:val="001F5048"/>
    <w:rsid w:val="002004F0"/>
    <w:rsid w:val="00244089"/>
    <w:rsid w:val="002B7226"/>
    <w:rsid w:val="002C0FF6"/>
    <w:rsid w:val="002F7D97"/>
    <w:rsid w:val="003026C7"/>
    <w:rsid w:val="00344F70"/>
    <w:rsid w:val="003A6DF9"/>
    <w:rsid w:val="003B63A6"/>
    <w:rsid w:val="003C1A6E"/>
    <w:rsid w:val="003E73F4"/>
    <w:rsid w:val="00400C9A"/>
    <w:rsid w:val="00415A28"/>
    <w:rsid w:val="00425540"/>
    <w:rsid w:val="004475D6"/>
    <w:rsid w:val="004515B4"/>
    <w:rsid w:val="004870BB"/>
    <w:rsid w:val="004D5D3B"/>
    <w:rsid w:val="004E1A69"/>
    <w:rsid w:val="00514DCD"/>
    <w:rsid w:val="00543E32"/>
    <w:rsid w:val="005536AE"/>
    <w:rsid w:val="005E2EE3"/>
    <w:rsid w:val="005E3E07"/>
    <w:rsid w:val="005E428D"/>
    <w:rsid w:val="005E7082"/>
    <w:rsid w:val="005F410C"/>
    <w:rsid w:val="005F4C9E"/>
    <w:rsid w:val="005F53C3"/>
    <w:rsid w:val="006317FB"/>
    <w:rsid w:val="00635E9B"/>
    <w:rsid w:val="006405F6"/>
    <w:rsid w:val="006755FC"/>
    <w:rsid w:val="00685572"/>
    <w:rsid w:val="006A18DB"/>
    <w:rsid w:val="006A75F2"/>
    <w:rsid w:val="006E308F"/>
    <w:rsid w:val="006F657F"/>
    <w:rsid w:val="00705C8B"/>
    <w:rsid w:val="00737646"/>
    <w:rsid w:val="007422E3"/>
    <w:rsid w:val="00756D2A"/>
    <w:rsid w:val="007832FA"/>
    <w:rsid w:val="007919B9"/>
    <w:rsid w:val="007A3802"/>
    <w:rsid w:val="007E1DB8"/>
    <w:rsid w:val="008A1953"/>
    <w:rsid w:val="008A2FDB"/>
    <w:rsid w:val="008A5B59"/>
    <w:rsid w:val="008C7B3B"/>
    <w:rsid w:val="008D5200"/>
    <w:rsid w:val="008D6879"/>
    <w:rsid w:val="008E0DC9"/>
    <w:rsid w:val="008E5E57"/>
    <w:rsid w:val="009028AA"/>
    <w:rsid w:val="009374C2"/>
    <w:rsid w:val="00941833"/>
    <w:rsid w:val="00966A1C"/>
    <w:rsid w:val="00977648"/>
    <w:rsid w:val="00991F68"/>
    <w:rsid w:val="009A7E94"/>
    <w:rsid w:val="009D3B59"/>
    <w:rsid w:val="009D4997"/>
    <w:rsid w:val="009D7A33"/>
    <w:rsid w:val="009F30CD"/>
    <w:rsid w:val="00A1605D"/>
    <w:rsid w:val="00AA7995"/>
    <w:rsid w:val="00AB24E1"/>
    <w:rsid w:val="00AE3867"/>
    <w:rsid w:val="00AF1F34"/>
    <w:rsid w:val="00AF3284"/>
    <w:rsid w:val="00AF4DAF"/>
    <w:rsid w:val="00B00EA2"/>
    <w:rsid w:val="00B121A8"/>
    <w:rsid w:val="00B14309"/>
    <w:rsid w:val="00B65AEE"/>
    <w:rsid w:val="00BA525B"/>
    <w:rsid w:val="00BF4AAA"/>
    <w:rsid w:val="00C13F0F"/>
    <w:rsid w:val="00C4618E"/>
    <w:rsid w:val="00C942E9"/>
    <w:rsid w:val="00CB4933"/>
    <w:rsid w:val="00CF1AE8"/>
    <w:rsid w:val="00D03FC9"/>
    <w:rsid w:val="00DC0A4B"/>
    <w:rsid w:val="00DF0C3D"/>
    <w:rsid w:val="00E15701"/>
    <w:rsid w:val="00E35548"/>
    <w:rsid w:val="00E852F9"/>
    <w:rsid w:val="00F04E87"/>
    <w:rsid w:val="00F34E1A"/>
    <w:rsid w:val="00F3565B"/>
    <w:rsid w:val="00F50454"/>
    <w:rsid w:val="00FC5526"/>
    <w:rsid w:val="00FD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4B00A"/>
  <w15:docId w15:val="{07E44A71-06D2-4545-A592-C02F88B3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9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4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552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552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C552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C552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F4DAF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AA79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028A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28AA"/>
  </w:style>
  <w:style w:type="character" w:styleId="FootnoteReference">
    <w:name w:val="footnote reference"/>
    <w:uiPriority w:val="99"/>
    <w:semiHidden/>
    <w:unhideWhenUsed/>
    <w:rsid w:val="009028AA"/>
    <w:rPr>
      <w:vertAlign w:val="superscript"/>
    </w:rPr>
  </w:style>
  <w:style w:type="paragraph" w:styleId="ListParagraph">
    <w:name w:val="List Paragraph"/>
    <w:basedOn w:val="Normal"/>
    <w:uiPriority w:val="34"/>
    <w:qFormat/>
    <w:rsid w:val="00114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2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98A18-302A-4F73-94EA-0155D2806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Macomb Community College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Cremeans</dc:creator>
  <cp:lastModifiedBy>Juliana Cox</cp:lastModifiedBy>
  <cp:revision>2</cp:revision>
  <cp:lastPrinted>2014-12-05T18:38:00Z</cp:lastPrinted>
  <dcterms:created xsi:type="dcterms:W3CDTF">2022-09-28T18:41:00Z</dcterms:created>
  <dcterms:modified xsi:type="dcterms:W3CDTF">2022-09-28T18:41:00Z</dcterms:modified>
</cp:coreProperties>
</file>